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09C6" w14:textId="12708043" w:rsidR="007676ED" w:rsidRPr="001C3EEB" w:rsidRDefault="007676ED" w:rsidP="007676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Calibri"/>
          <w:b/>
          <w:bCs/>
          <w:u w:val="single"/>
          <w:lang w:eastAsia="en-GB"/>
        </w:rPr>
      </w:pPr>
      <w:r w:rsidRPr="006D5DCE">
        <w:rPr>
          <w:rFonts w:ascii="Trebuchet MS" w:eastAsia="Times New Roman" w:hAnsi="Trebuchet MS" w:cs="Times New Roman"/>
          <w:bdr w:val="none" w:sz="0" w:space="0" w:color="auto" w:frame="1"/>
          <w:lang w:eastAsia="en-GB"/>
        </w:rPr>
        <w:t>“</w:t>
      </w:r>
      <w:r w:rsidRPr="001C3EEB">
        <w:rPr>
          <w:rFonts w:ascii="Trebuchet MS" w:eastAsia="Times New Roman" w:hAnsi="Trebuchet MS" w:cs="Times New Roman"/>
          <w:b/>
          <w:bCs/>
          <w:u w:val="single"/>
          <w:lang w:eastAsia="en-GB"/>
        </w:rPr>
        <w:t>Social Practice Spectrums</w:t>
      </w:r>
      <w:r>
        <w:rPr>
          <w:rFonts w:ascii="Trebuchet MS" w:eastAsia="Times New Roman" w:hAnsi="Trebuchet MS" w:cs="Times New Roman"/>
          <w:b/>
          <w:bCs/>
          <w:u w:val="single"/>
          <w:lang w:eastAsia="en-GB"/>
        </w:rPr>
        <w:t xml:space="preserve"> / Scales</w:t>
      </w:r>
      <w:r w:rsidRPr="006D5DCE">
        <w:rPr>
          <w:rFonts w:ascii="Trebuchet MS" w:eastAsia="Times New Roman" w:hAnsi="Trebuchet MS" w:cs="Times New Roman"/>
          <w:b/>
          <w:bCs/>
          <w:u w:val="single"/>
          <w:lang w:eastAsia="en-GB"/>
        </w:rPr>
        <w:t>”</w:t>
      </w:r>
      <w:r w:rsidRPr="001C3EEB">
        <w:rPr>
          <w:rFonts w:ascii="Trebuchet MS" w:eastAsia="Times New Roman" w:hAnsi="Trebuchet MS" w:cs="Times New Roman"/>
          <w:b/>
          <w:bCs/>
          <w:u w:val="single"/>
          <w:lang w:eastAsia="en-GB"/>
        </w:rPr>
        <w:t>- Dan</w:t>
      </w:r>
      <w:r w:rsidRPr="006D5DCE">
        <w:rPr>
          <w:rFonts w:ascii="Trebuchet MS" w:eastAsia="Times New Roman" w:hAnsi="Trebuchet MS" w:cs="Times New Roman"/>
          <w:b/>
          <w:bCs/>
          <w:u w:val="single"/>
          <w:lang w:eastAsia="en-GB"/>
        </w:rPr>
        <w:t>, Commissioned by Heart of Glass, May 2020</w:t>
      </w:r>
    </w:p>
    <w:p w14:paraId="606997AA" w14:textId="77777777" w:rsidR="007676ED" w:rsidRPr="001C3EEB" w:rsidRDefault="007676ED" w:rsidP="007676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lang w:eastAsia="en-GB"/>
        </w:rPr>
      </w:pPr>
      <w:r w:rsidRPr="001C3EEB">
        <w:rPr>
          <w:rFonts w:ascii="Trebuchet MS" w:eastAsia="Times New Roman" w:hAnsi="Trebuchet MS" w:cs="Times New Roman"/>
          <w:lang w:eastAsia="en-GB"/>
        </w:rPr>
        <w:t xml:space="preserve">At the Social Art Summit in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November 2018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I contributed to a session all about the rules of engagement in social practice, led by Rebecca Davies and Anna Francis. Based on things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I’d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been mulling over (especially learning from projects I worked on with Lou Hargreaves) and supplemented by conversations from those two days in Sheffield I cobbled together a few sliding scales of considerations for working with people.</w:t>
      </w:r>
    </w:p>
    <w:p w14:paraId="4DEC5170" w14:textId="77777777" w:rsidR="007676ED" w:rsidRPr="001C3EEB" w:rsidRDefault="007676ED" w:rsidP="007676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lang w:eastAsia="en-GB"/>
        </w:rPr>
      </w:pPr>
      <w:r w:rsidRPr="001C3EEB">
        <w:rPr>
          <w:rFonts w:ascii="Trebuchet MS" w:eastAsia="Times New Roman" w:hAnsi="Trebuchet MS" w:cs="Times New Roman"/>
          <w:lang w:eastAsia="en-GB"/>
        </w:rPr>
        <w:t xml:space="preserve">More recently, alongside Kitt, we have been doing a lot of thinking and talking around the ins and outs of social practice and have refined these spectrums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somewhat, and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added new categories.</w:t>
      </w:r>
    </w:p>
    <w:p w14:paraId="7DFD191D" w14:textId="77777777" w:rsidR="007676ED" w:rsidRPr="001C3EEB" w:rsidRDefault="007676ED" w:rsidP="007676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lang w:eastAsia="en-GB"/>
        </w:rPr>
      </w:pPr>
      <w:r w:rsidRPr="001C3EEB">
        <w:rPr>
          <w:rFonts w:ascii="Trebuchet MS" w:eastAsia="Times New Roman" w:hAnsi="Trebuchet MS" w:cs="Times New Roman"/>
          <w:lang w:eastAsia="en-GB"/>
        </w:rPr>
        <w:t xml:space="preserve">They are meant to act as prompts for thinking about engaging with people, and compile various sticking points, cruxes,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tensions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and dichotomies that have been thrown up by our work over the years.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What’s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presented here is an incomplete set of checks and balances for commencing art projects with people and we invite you to suggest the stuff we haven’t yet included.</w:t>
      </w:r>
    </w:p>
    <w:p w14:paraId="71B96F29" w14:textId="77777777" w:rsidR="007676ED" w:rsidRPr="001C3EEB" w:rsidRDefault="007676ED" w:rsidP="007676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lang w:eastAsia="en-GB"/>
        </w:rPr>
      </w:pP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There’s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some points that can be read in multiple ways, and that’s fine. </w:t>
      </w:r>
      <w:r w:rsidRPr="001C3EEB">
        <w:rPr>
          <w:rFonts w:ascii="Trebuchet MS" w:eastAsia="Times New Roman" w:hAnsi="Trebuchet MS" w:cs="Times New Roman"/>
          <w:i/>
          <w:iCs/>
          <w:lang w:eastAsia="en-GB"/>
        </w:rPr>
        <w:t>Work—Non-Work</w:t>
      </w:r>
      <w:r w:rsidRPr="001C3EEB">
        <w:rPr>
          <w:rFonts w:ascii="Trebuchet MS" w:eastAsia="Times New Roman" w:hAnsi="Trebuchet MS" w:cs="Times New Roman"/>
          <w:lang w:eastAsia="en-GB"/>
        </w:rPr>
        <w:t> could mean the difference between a paid artist and a voluntary participant. It might refer to doing work that feels more like fun than a job. It might be the spectrum where your hobby becomes your job.</w:t>
      </w:r>
    </w:p>
    <w:p w14:paraId="71EA5B06" w14:textId="77777777" w:rsidR="007676ED" w:rsidRPr="001C3EEB" w:rsidRDefault="007676ED" w:rsidP="007676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lang w:eastAsia="en-GB"/>
        </w:rPr>
      </w:pPr>
      <w:r w:rsidRPr="001C3EEB">
        <w:rPr>
          <w:rFonts w:ascii="Trebuchet MS" w:eastAsia="Times New Roman" w:hAnsi="Trebuchet MS" w:cs="Times New Roman"/>
          <w:lang w:eastAsia="en-GB"/>
        </w:rPr>
        <w:t>Most of these are reasonably straightforward, but some things might need more explanation - just get in touch for clarification. For example, </w:t>
      </w:r>
      <w:r w:rsidRPr="001C3EEB">
        <w:rPr>
          <w:rFonts w:ascii="Trebuchet MS" w:eastAsia="Times New Roman" w:hAnsi="Trebuchet MS" w:cs="Times New Roman"/>
          <w:i/>
          <w:iCs/>
          <w:lang w:eastAsia="en-GB"/>
        </w:rPr>
        <w:t xml:space="preserve">Gatekeeper </w:t>
      </w:r>
      <w:proofErr w:type="gramStart"/>
      <w:r w:rsidRPr="001C3EEB">
        <w:rPr>
          <w:rFonts w:ascii="Trebuchet MS" w:eastAsia="Times New Roman" w:hAnsi="Trebuchet MS" w:cs="Times New Roman"/>
          <w:i/>
          <w:iCs/>
          <w:lang w:eastAsia="en-GB"/>
        </w:rPr>
        <w:t>As</w:t>
      </w:r>
      <w:proofErr w:type="gramEnd"/>
      <w:r w:rsidRPr="001C3EEB">
        <w:rPr>
          <w:rFonts w:ascii="Trebuchet MS" w:eastAsia="Times New Roman" w:hAnsi="Trebuchet MS" w:cs="Times New Roman"/>
          <w:i/>
          <w:iCs/>
          <w:lang w:eastAsia="en-GB"/>
        </w:rPr>
        <w:t xml:space="preserve"> Conduit — Gatekeeper As Blockage</w:t>
      </w:r>
      <w:r w:rsidRPr="001C3EEB">
        <w:rPr>
          <w:rFonts w:ascii="Trebuchet MS" w:eastAsia="Times New Roman" w:hAnsi="Trebuchet MS" w:cs="Times New Roman"/>
          <w:lang w:eastAsia="en-GB"/>
        </w:rPr>
        <w:t xml:space="preserve"> refers to those people who you meet when you first set foot in new territory, when you are desperately scratching around for people to strike up conversation and a rapport with as you try and find ‘ways in’ to a locale. Gatekeepers are those who immediately open doors to you, and you inevitably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say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“oh goody, they can be my guide!”. However, because of their position,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history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and relationships in a community they may also put other people off going through those doors. </w:t>
      </w:r>
      <w:r w:rsidRPr="001C3EEB">
        <w:rPr>
          <w:rFonts w:ascii="Trebuchet MS" w:eastAsia="Times New Roman" w:hAnsi="Trebuchet MS" w:cs="Times New Roman"/>
          <w:i/>
          <w:iCs/>
          <w:lang w:eastAsia="en-GB"/>
        </w:rPr>
        <w:t>Social Aesthetic —Object Aesthetic </w:t>
      </w:r>
      <w:r w:rsidRPr="001C3EEB">
        <w:rPr>
          <w:rFonts w:ascii="Trebuchet MS" w:eastAsia="Times New Roman" w:hAnsi="Trebuchet MS" w:cs="Times New Roman"/>
          <w:lang w:eastAsia="en-GB"/>
        </w:rPr>
        <w:t xml:space="preserve">is about the difference between the main aim being fostering good relationships or making nice things. Not saying you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can’t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have both! </w:t>
      </w:r>
      <w:r w:rsidRPr="001C3EEB">
        <w:rPr>
          <w:rFonts w:ascii="Trebuchet MS" w:eastAsia="Times New Roman" w:hAnsi="Trebuchet MS" w:cs="Times New Roman"/>
          <w:i/>
          <w:iCs/>
          <w:lang w:eastAsia="en-GB"/>
        </w:rPr>
        <w:t xml:space="preserve">Art </w:t>
      </w:r>
      <w:proofErr w:type="gramStart"/>
      <w:r w:rsidRPr="001C3EEB">
        <w:rPr>
          <w:rFonts w:ascii="Trebuchet MS" w:eastAsia="Times New Roman" w:hAnsi="Trebuchet MS" w:cs="Times New Roman"/>
          <w:i/>
          <w:iCs/>
          <w:lang w:eastAsia="en-GB"/>
        </w:rPr>
        <w:t>As</w:t>
      </w:r>
      <w:proofErr w:type="gramEnd"/>
      <w:r w:rsidRPr="001C3EEB">
        <w:rPr>
          <w:rFonts w:ascii="Trebuchet MS" w:eastAsia="Times New Roman" w:hAnsi="Trebuchet MS" w:cs="Times New Roman"/>
          <w:i/>
          <w:iCs/>
          <w:lang w:eastAsia="en-GB"/>
        </w:rPr>
        <w:t xml:space="preserve"> Part Of Life — Art As Surrogate For Civic Life </w:t>
      </w:r>
      <w:r w:rsidRPr="001C3EEB">
        <w:rPr>
          <w:rFonts w:ascii="Trebuchet MS" w:eastAsia="Times New Roman" w:hAnsi="Trebuchet MS" w:cs="Times New Roman"/>
          <w:lang w:eastAsia="en-GB"/>
        </w:rPr>
        <w:t>is a comment on the expanded idea of art and how everything could possibly be art. On</w:t>
      </w:r>
      <w:r w:rsidRPr="006D5DCE">
        <w:rPr>
          <w:rFonts w:ascii="Trebuchet MS" w:eastAsia="Times New Roman" w:hAnsi="Trebuchet MS" w:cs="Times New Roman"/>
          <w:lang w:eastAsia="en-GB"/>
        </w:rPr>
        <w:t xml:space="preserve"> th</w:t>
      </w:r>
      <w:r w:rsidRPr="001C3EEB">
        <w:rPr>
          <w:rFonts w:ascii="Trebuchet MS" w:eastAsia="Times New Roman" w:hAnsi="Trebuchet MS" w:cs="Times New Roman"/>
          <w:lang w:eastAsia="en-GB"/>
        </w:rPr>
        <w:t>e one hand, this could be positive, but on the other - especially in cuts, cuts, cuts Britain - art projects are often expected to replace eroded services (improve everyone’s mental health now the drop-in centre has closed, for example). </w:t>
      </w:r>
      <w:r w:rsidRPr="001C3EEB">
        <w:rPr>
          <w:rFonts w:ascii="Trebuchet MS" w:eastAsia="Times New Roman" w:hAnsi="Trebuchet MS" w:cs="Times New Roman"/>
          <w:i/>
          <w:iCs/>
          <w:lang w:eastAsia="en-GB"/>
        </w:rPr>
        <w:t xml:space="preserve">Artist </w:t>
      </w:r>
      <w:proofErr w:type="gramStart"/>
      <w:r w:rsidRPr="001C3EEB">
        <w:rPr>
          <w:rFonts w:ascii="Trebuchet MS" w:eastAsia="Times New Roman" w:hAnsi="Trebuchet MS" w:cs="Times New Roman"/>
          <w:i/>
          <w:iCs/>
          <w:lang w:eastAsia="en-GB"/>
        </w:rPr>
        <w:t>As</w:t>
      </w:r>
      <w:proofErr w:type="gramEnd"/>
      <w:r w:rsidRPr="001C3EEB">
        <w:rPr>
          <w:rFonts w:ascii="Trebuchet MS" w:eastAsia="Times New Roman" w:hAnsi="Trebuchet MS" w:cs="Times New Roman"/>
          <w:i/>
          <w:iCs/>
          <w:lang w:eastAsia="en-GB"/>
        </w:rPr>
        <w:t xml:space="preserve"> Lightning Rod — Artist In The Background </w:t>
      </w:r>
      <w:r w:rsidRPr="001C3EEB">
        <w:rPr>
          <w:rFonts w:ascii="Trebuchet MS" w:eastAsia="Times New Roman" w:hAnsi="Trebuchet MS" w:cs="Times New Roman"/>
          <w:lang w:eastAsia="en-GB"/>
        </w:rPr>
        <w:t>refers to the difference between positioning yourself as the catalyst for ideas, or stepping back and being one of many contributors.</w:t>
      </w:r>
    </w:p>
    <w:p w14:paraId="46B2DB02" w14:textId="77777777" w:rsidR="007676ED" w:rsidRPr="001C3EEB" w:rsidRDefault="007676ED" w:rsidP="007676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lang w:eastAsia="en-GB"/>
        </w:rPr>
      </w:pPr>
      <w:r w:rsidRPr="001C3EEB">
        <w:rPr>
          <w:rFonts w:ascii="Trebuchet MS" w:eastAsia="Times New Roman" w:hAnsi="Trebuchet MS" w:cs="Times New Roman"/>
          <w:lang w:eastAsia="en-GB"/>
        </w:rPr>
        <w:t xml:space="preserve">Included are 24 considerations, and we haven’t yet through how to pithily encapsulate problems such as: the scales of operation that exist between extractive and mutual practices (people as ‘raw material’ versus people as equal contributors); the difference between artists leading and artists showing others how to lead; and the extent to which you share the funder/commissioner’s evaluation demands (depending on whether they are integral and interesting reflective aid to getting the most out of the project, or a dull add-on or tick-box exercise that no participants are going to want to delve into). In a related subject area are the differences between projects that have stipulated aims at the beginning, and those where the aims are mutually decided on by all involved.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There’s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also something about quality of experience versus quality of documentation (or perhaps quality of taking part as opposed to quality of being in the audience) that needs more thought. </w:t>
      </w:r>
    </w:p>
    <w:p w14:paraId="5688AFDF" w14:textId="77777777" w:rsidR="007676ED" w:rsidRPr="005A7903" w:rsidRDefault="007676ED" w:rsidP="007676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lang w:eastAsia="en-GB"/>
        </w:rPr>
      </w:pPr>
      <w:r w:rsidRPr="001C3EEB">
        <w:rPr>
          <w:rFonts w:ascii="Trebuchet MS" w:eastAsia="Times New Roman" w:hAnsi="Trebuchet MS" w:cs="Times New Roman"/>
          <w:lang w:eastAsia="en-GB"/>
        </w:rPr>
        <w:t xml:space="preserve">The white cards are the bigger boundaries that often influence which end of the spectrum the more nuanced considerations (on yellow cards) </w:t>
      </w:r>
      <w:proofErr w:type="gramStart"/>
      <w:r w:rsidRPr="001C3EEB">
        <w:rPr>
          <w:rFonts w:ascii="Trebuchet MS" w:eastAsia="Times New Roman" w:hAnsi="Trebuchet MS" w:cs="Times New Roman"/>
          <w:lang w:eastAsia="en-GB"/>
        </w:rPr>
        <w:t>have to</w:t>
      </w:r>
      <w:proofErr w:type="gramEnd"/>
      <w:r w:rsidRPr="001C3EEB">
        <w:rPr>
          <w:rFonts w:ascii="Trebuchet MS" w:eastAsia="Times New Roman" w:hAnsi="Trebuchet MS" w:cs="Times New Roman"/>
          <w:lang w:eastAsia="en-GB"/>
        </w:rPr>
        <w:t xml:space="preserve"> be. </w:t>
      </w:r>
    </w:p>
    <w:p w14:paraId="1D83C6D5" w14:textId="77777777" w:rsidR="00283D81" w:rsidRDefault="00283D81"/>
    <w:sectPr w:rsidR="00283D81" w:rsidSect="00767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ED"/>
    <w:rsid w:val="00283D81"/>
    <w:rsid w:val="007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E4D9"/>
  <w15:chartTrackingRefBased/>
  <w15:docId w15:val="{4F21AFAE-1136-4A1C-8464-8963E08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Kitt</dc:creator>
  <cp:keywords/>
  <dc:description/>
  <cp:lastModifiedBy>Lady Kitt</cp:lastModifiedBy>
  <cp:revision>1</cp:revision>
  <dcterms:created xsi:type="dcterms:W3CDTF">2021-02-10T19:53:00Z</dcterms:created>
  <dcterms:modified xsi:type="dcterms:W3CDTF">2021-02-10T19:57:00Z</dcterms:modified>
</cp:coreProperties>
</file>